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360"/>
        <w:jc w:val="center"/>
        <w:rPr>
          <w:rFonts w:ascii="Arial" w:cs="Arial" w:hAnsi="Arial"/>
          <w:sz w:val="24"/>
          <w:szCs w:val="24"/>
        </w:rPr>
      </w:pPr>
    </w:p>
    <w:p>
      <w:pPr>
        <w:pStyle w:val="style0"/>
        <w:spacing w:lineRule="auto" w:line="360"/>
        <w:jc w:val="center"/>
        <w:rPr>
          <w:rFonts w:ascii="Arial" w:cs="Arial" w:hAnsi="Arial"/>
          <w:sz w:val="24"/>
          <w:szCs w:val="24"/>
        </w:rPr>
      </w:pPr>
    </w:p>
    <w:p>
      <w:pPr>
        <w:pStyle w:val="style0"/>
        <w:spacing w:lineRule="auto" w:line="360"/>
        <w:jc w:val="center"/>
        <w:rPr>
          <w:rFonts w:ascii="Arial" w:cs="Arial" w:hAnsi="Arial"/>
          <w:sz w:val="24"/>
          <w:szCs w:val="24"/>
        </w:rPr>
      </w:pPr>
    </w:p>
    <w:p>
      <w:pPr>
        <w:pStyle w:val="style0"/>
        <w:spacing w:lineRule="auto" w:line="360"/>
        <w:jc w:val="center"/>
        <w:rPr>
          <w:rFonts w:ascii="Arial" w:cs="Arial" w:hAnsi="Arial"/>
          <w:sz w:val="24"/>
          <w:szCs w:val="24"/>
        </w:rPr>
      </w:pPr>
    </w:p>
    <w:p>
      <w:pPr>
        <w:pStyle w:val="style0"/>
        <w:spacing w:lineRule="auto" w:line="360"/>
        <w:jc w:val="center"/>
        <w:rPr>
          <w:rFonts w:ascii="Arial" w:cs="Arial" w:hAnsi="Arial"/>
          <w:sz w:val="24"/>
          <w:szCs w:val="24"/>
        </w:rPr>
      </w:pPr>
    </w:p>
    <w:p>
      <w:pPr>
        <w:pStyle w:val="style0"/>
        <w:spacing w:lineRule="auto" w:line="360"/>
        <w:jc w:val="center"/>
        <w:rPr>
          <w:rFonts w:ascii="Arial" w:cs="Arial" w:hAnsi="Arial"/>
          <w:sz w:val="24"/>
          <w:szCs w:val="24"/>
        </w:rPr>
      </w:pPr>
      <w:r>
        <w:rPr>
          <w:rFonts w:ascii="Arial" w:cs="Arial" w:hAnsi="Arial"/>
          <w:sz w:val="24"/>
          <w:szCs w:val="24"/>
        </w:rPr>
        <w:t>FOOD POISONING: ESCHERICHIA COLI</w:t>
      </w:r>
    </w:p>
    <w:p>
      <w:pPr>
        <w:pStyle w:val="style0"/>
        <w:spacing w:lineRule="auto" w:line="360"/>
        <w:jc w:val="center"/>
        <w:rPr>
          <w:rFonts w:ascii="Arial" w:cs="Arial" w:hAnsi="Arial"/>
          <w:sz w:val="24"/>
          <w:szCs w:val="24"/>
        </w:rPr>
      </w:pPr>
    </w:p>
    <w:p>
      <w:pPr>
        <w:pStyle w:val="style0"/>
        <w:spacing w:lineRule="auto" w:line="360"/>
        <w:jc w:val="center"/>
        <w:rPr>
          <w:rFonts w:ascii="Arial" w:cs="Arial" w:hAnsi="Arial"/>
          <w:sz w:val="24"/>
          <w:szCs w:val="24"/>
        </w:rPr>
      </w:pPr>
    </w:p>
    <w:p>
      <w:pPr>
        <w:pStyle w:val="style0"/>
        <w:spacing w:lineRule="auto" w:line="360"/>
        <w:jc w:val="center"/>
        <w:rPr>
          <w:rFonts w:ascii="Arial" w:cs="Arial" w:hAnsi="Arial"/>
          <w:sz w:val="24"/>
          <w:szCs w:val="24"/>
        </w:rPr>
      </w:pPr>
      <w:r>
        <w:rPr>
          <w:rFonts w:ascii="Arial" w:cs="Arial" w:hAnsi="Arial"/>
          <w:sz w:val="24"/>
          <w:szCs w:val="24"/>
        </w:rPr>
        <w:t>Name</w:t>
      </w:r>
    </w:p>
    <w:p>
      <w:pPr>
        <w:pStyle w:val="style0"/>
        <w:spacing w:lineRule="auto" w:line="360"/>
        <w:jc w:val="center"/>
        <w:rPr>
          <w:rFonts w:ascii="Arial" w:cs="Arial" w:hAnsi="Arial"/>
          <w:sz w:val="24"/>
          <w:szCs w:val="24"/>
        </w:rPr>
      </w:pPr>
    </w:p>
    <w:p>
      <w:pPr>
        <w:pStyle w:val="style0"/>
        <w:spacing w:lineRule="auto" w:line="360"/>
        <w:jc w:val="center"/>
        <w:rPr>
          <w:rFonts w:ascii="Arial" w:cs="Arial" w:hAnsi="Arial"/>
          <w:sz w:val="24"/>
          <w:szCs w:val="24"/>
        </w:rPr>
      </w:pPr>
      <w:r>
        <w:rPr>
          <w:rFonts w:ascii="Arial" w:cs="Arial" w:hAnsi="Arial"/>
          <w:sz w:val="24"/>
          <w:szCs w:val="24"/>
        </w:rPr>
        <w:t>Class</w:t>
      </w:r>
    </w:p>
    <w:p>
      <w:pPr>
        <w:pStyle w:val="style0"/>
        <w:spacing w:lineRule="auto" w:line="360"/>
        <w:jc w:val="center"/>
        <w:rPr>
          <w:rFonts w:ascii="Arial" w:cs="Arial" w:hAnsi="Arial"/>
          <w:sz w:val="24"/>
          <w:szCs w:val="24"/>
        </w:rPr>
      </w:pPr>
    </w:p>
    <w:p>
      <w:pPr>
        <w:pStyle w:val="style0"/>
        <w:spacing w:lineRule="auto" w:line="360"/>
        <w:jc w:val="center"/>
        <w:rPr>
          <w:rFonts w:ascii="Arial" w:cs="Arial" w:hAnsi="Arial"/>
          <w:sz w:val="24"/>
          <w:szCs w:val="24"/>
        </w:rPr>
      </w:pPr>
      <w:r>
        <w:rPr>
          <w:rFonts w:ascii="Arial" w:cs="Arial" w:hAnsi="Arial"/>
          <w:sz w:val="24"/>
          <w:szCs w:val="24"/>
        </w:rPr>
        <w:t>Professor</w:t>
      </w:r>
    </w:p>
    <w:p>
      <w:pPr>
        <w:pStyle w:val="style0"/>
        <w:spacing w:lineRule="auto" w:line="360"/>
        <w:jc w:val="center"/>
        <w:rPr>
          <w:rFonts w:ascii="Arial" w:cs="Arial" w:hAnsi="Arial"/>
          <w:sz w:val="24"/>
          <w:szCs w:val="24"/>
        </w:rPr>
      </w:pPr>
    </w:p>
    <w:p>
      <w:pPr>
        <w:pStyle w:val="style0"/>
        <w:spacing w:lineRule="auto" w:line="360"/>
        <w:jc w:val="center"/>
        <w:rPr>
          <w:rFonts w:ascii="Arial" w:cs="Arial" w:hAnsi="Arial"/>
          <w:sz w:val="24"/>
          <w:szCs w:val="24"/>
        </w:rPr>
      </w:pPr>
      <w:r>
        <w:rPr>
          <w:rFonts w:ascii="Arial" w:cs="Arial" w:hAnsi="Arial"/>
          <w:sz w:val="24"/>
          <w:szCs w:val="24"/>
        </w:rPr>
        <w:t>University</w:t>
      </w:r>
    </w:p>
    <w:p>
      <w:pPr>
        <w:pStyle w:val="style0"/>
        <w:spacing w:lineRule="auto" w:line="360"/>
        <w:jc w:val="center"/>
        <w:rPr>
          <w:rFonts w:ascii="Arial" w:cs="Arial" w:hAnsi="Arial"/>
          <w:sz w:val="24"/>
          <w:szCs w:val="24"/>
        </w:rPr>
      </w:pPr>
    </w:p>
    <w:p>
      <w:pPr>
        <w:pStyle w:val="style0"/>
        <w:spacing w:lineRule="auto" w:line="360"/>
        <w:jc w:val="center"/>
        <w:rPr>
          <w:rFonts w:ascii="Arial" w:cs="Arial" w:hAnsi="Arial"/>
          <w:sz w:val="24"/>
          <w:szCs w:val="24"/>
        </w:rPr>
      </w:pPr>
      <w:r>
        <w:rPr>
          <w:rFonts w:ascii="Arial" w:cs="Arial" w:hAnsi="Arial"/>
          <w:sz w:val="24"/>
          <w:szCs w:val="24"/>
        </w:rPr>
        <w:t>Date</w:t>
      </w:r>
    </w:p>
    <w:p>
      <w:pPr>
        <w:pStyle w:val="style0"/>
        <w:spacing w:lineRule="auto" w:line="360"/>
        <w:rPr>
          <w:rFonts w:ascii="Arial" w:cs="Arial" w:hAnsi="Arial"/>
          <w:sz w:val="24"/>
          <w:szCs w:val="24"/>
        </w:rPr>
      </w:pPr>
    </w:p>
    <w:p>
      <w:pPr>
        <w:pStyle w:val="style0"/>
        <w:spacing w:lineRule="auto" w:line="360"/>
        <w:rPr>
          <w:rFonts w:ascii="Arial" w:cs="Arial" w:hAnsi="Arial"/>
          <w:sz w:val="24"/>
          <w:szCs w:val="24"/>
        </w:rPr>
      </w:pPr>
    </w:p>
    <w:p>
      <w:pPr>
        <w:pStyle w:val="style0"/>
        <w:spacing w:lineRule="auto" w:line="360"/>
        <w:rPr>
          <w:rFonts w:ascii="Arial" w:cs="Arial" w:hAnsi="Arial"/>
          <w:sz w:val="24"/>
          <w:szCs w:val="24"/>
        </w:rPr>
      </w:pPr>
    </w:p>
    <w:p>
      <w:pPr>
        <w:pStyle w:val="style0"/>
        <w:spacing w:lineRule="auto" w:line="360"/>
        <w:rPr>
          <w:rFonts w:ascii="Arial" w:cs="Arial" w:hAnsi="Arial"/>
          <w:sz w:val="24"/>
          <w:szCs w:val="24"/>
        </w:rPr>
      </w:pPr>
    </w:p>
    <w:p>
      <w:pPr>
        <w:pStyle w:val="style0"/>
        <w:spacing w:lineRule="auto" w:line="360"/>
        <w:rPr>
          <w:rFonts w:ascii="Arial" w:cs="Arial" w:hAnsi="Arial"/>
          <w:sz w:val="24"/>
          <w:szCs w:val="24"/>
        </w:rPr>
      </w:pPr>
    </w:p>
    <w:p>
      <w:pPr>
        <w:pStyle w:val="style0"/>
        <w:spacing w:lineRule="auto" w:line="360"/>
        <w:rPr>
          <w:rFonts w:ascii="Arial" w:cs="Arial" w:hAnsi="Arial"/>
          <w:sz w:val="24"/>
          <w:szCs w:val="24"/>
        </w:rPr>
      </w:pPr>
    </w:p>
    <w:p>
      <w:pPr>
        <w:pStyle w:val="style0"/>
        <w:spacing w:lineRule="auto" w:line="360"/>
        <w:rPr>
          <w:rFonts w:ascii="Arial" w:cs="Arial" w:hAnsi="Arial"/>
          <w:sz w:val="24"/>
          <w:szCs w:val="24"/>
        </w:rPr>
      </w:pPr>
      <w:r>
        <w:rPr>
          <w:rFonts w:ascii="Arial" w:cs="Arial" w:hAnsi="Arial"/>
          <w:sz w:val="24"/>
          <w:szCs w:val="24"/>
        </w:rPr>
        <w:t xml:space="preserve">Introduction </w:t>
      </w:r>
    </w:p>
    <w:p>
      <w:pPr>
        <w:pStyle w:val="style0"/>
        <w:spacing w:lineRule="auto" w:line="360"/>
        <w:ind w:firstLine="720"/>
        <w:jc w:val="both"/>
        <w:rPr>
          <w:rFonts w:ascii="Arial" w:cs="Arial" w:hAnsi="Arial"/>
          <w:sz w:val="24"/>
          <w:szCs w:val="24"/>
        </w:rPr>
      </w:pPr>
      <w:r>
        <w:rPr>
          <w:rFonts w:ascii="Arial" w:cs="Arial" w:hAnsi="Arial"/>
          <w:sz w:val="24"/>
          <w:szCs w:val="24"/>
        </w:rPr>
        <w:t xml:space="preserve">From the case that we are given, we are told that the twenty-four cases of suspected food-borne illness ate chicken from a local supermarket. It is convincing that the most probable causative microbial agent is Escherichia Coli (E. Coli). </w:t>
      </w:r>
      <w:r>
        <w:rPr>
          <w:rFonts w:ascii="Arial" w:cs="Arial" w:hAnsi="Arial"/>
          <w:sz w:val="24"/>
          <w:szCs w:val="24"/>
        </w:rPr>
        <w:t>E. Coli is one of the most common bacterial infection especially if patients had been exposed to poultry foods</w:t>
      </w:r>
      <w:r>
        <w:rPr>
          <w:rFonts w:ascii="Arial" w:cs="Arial" w:hAnsi="Arial"/>
          <w:sz w:val="24"/>
          <w:szCs w:val="24"/>
        </w:rPr>
        <w:t xml:space="preserve"> that have not been well cooked (Griffiths &amp; </w:t>
      </w:r>
      <w:r>
        <w:rPr>
          <w:rFonts w:ascii="Arial" w:cs="Arial" w:hAnsi="Arial"/>
          <w:sz w:val="24"/>
          <w:szCs w:val="24"/>
        </w:rPr>
        <w:t>Schraft</w:t>
      </w:r>
      <w:r>
        <w:rPr>
          <w:rFonts w:ascii="Arial" w:cs="Arial" w:hAnsi="Arial"/>
          <w:sz w:val="24"/>
          <w:szCs w:val="24"/>
        </w:rPr>
        <w:t xml:space="preserve"> 2017, p.397)</w:t>
      </w:r>
      <w:r>
        <w:rPr>
          <w:rFonts w:ascii="Arial" w:cs="Arial" w:hAnsi="Arial"/>
          <w:sz w:val="24"/>
          <w:szCs w:val="24"/>
        </w:rPr>
        <w:t xml:space="preserve"> In other instances, one can contract E. Coli bacterial infection due to unhygienic conducts like handling poultry, food served by someone who is carrying the bacteria, especially one who had not washed their hands, unsafe transportation and even handling of food can also lead to transmission and contracting of E. Coli bacteria. Thus, the twenty-four people might have contracted the E. Coli bacteria from eating the chicken which had been bought, pre-cooked and packaged from the supermarket.</w:t>
      </w:r>
    </w:p>
    <w:p>
      <w:pPr>
        <w:pStyle w:val="style0"/>
        <w:spacing w:lineRule="auto" w:line="360"/>
        <w:ind w:firstLine="720"/>
        <w:jc w:val="both"/>
        <w:rPr>
          <w:rFonts w:ascii="Arial" w:cs="Arial" w:hAnsi="Arial"/>
          <w:sz w:val="24"/>
          <w:szCs w:val="24"/>
        </w:rPr>
      </w:pPr>
      <w:r>
        <w:rPr>
          <w:rFonts w:ascii="Arial" w:cs="Arial" w:hAnsi="Arial"/>
          <w:sz w:val="24"/>
          <w:szCs w:val="24"/>
        </w:rPr>
        <w:t xml:space="preserve">The </w:t>
      </w:r>
      <w:r>
        <w:rPr>
          <w:rFonts w:ascii="Arial" w:cs="Arial" w:hAnsi="Arial"/>
          <w:sz w:val="24"/>
          <w:szCs w:val="24"/>
        </w:rPr>
        <w:t>evidence for my assumption is anchored in the symptoms that the people who were food-poisoned exhibited. Patients of E. Coli exhibit symptoms like diarrhea</w:t>
      </w:r>
      <w:r>
        <w:rPr>
          <w:rFonts w:ascii="Arial" w:cs="Arial" w:hAnsi="Arial"/>
          <w:sz w:val="24"/>
          <w:szCs w:val="24"/>
        </w:rPr>
        <w:t>, stomach cramps, loss of appetite or nausea, and vomiting. The patients also complain of abdom</w:t>
      </w:r>
      <w:r>
        <w:rPr>
          <w:rFonts w:ascii="Arial" w:cs="Arial" w:hAnsi="Arial"/>
          <w:sz w:val="24"/>
          <w:szCs w:val="24"/>
        </w:rPr>
        <w:t>inal pain and they have fever. With t</w:t>
      </w:r>
      <w:r>
        <w:rPr>
          <w:rFonts w:ascii="Arial" w:cs="Arial" w:hAnsi="Arial"/>
          <w:sz w:val="24"/>
          <w:szCs w:val="24"/>
        </w:rPr>
        <w:t xml:space="preserve">he information given about the 24 cases with their signs and symptoms of their ailment, it is E. Coli bacteria that is the most probable cause of their ailment. </w:t>
      </w:r>
    </w:p>
    <w:p>
      <w:pPr>
        <w:pStyle w:val="style0"/>
        <w:spacing w:lineRule="auto" w:line="360"/>
        <w:ind w:firstLine="720"/>
        <w:jc w:val="both"/>
        <w:rPr>
          <w:rFonts w:ascii="Arial" w:cs="Arial" w:hAnsi="Arial"/>
          <w:sz w:val="24"/>
          <w:szCs w:val="24"/>
        </w:rPr>
      </w:pPr>
      <w:r>
        <w:rPr>
          <w:rFonts w:ascii="Arial" w:cs="Arial" w:hAnsi="Arial"/>
          <w:sz w:val="24"/>
          <w:szCs w:val="24"/>
        </w:rPr>
        <w:t xml:space="preserve">Escherichia Coli Characteristics </w:t>
      </w:r>
    </w:p>
    <w:p>
      <w:pPr>
        <w:pStyle w:val="style0"/>
        <w:spacing w:lineRule="auto" w:line="360"/>
        <w:ind w:firstLine="720"/>
        <w:jc w:val="both"/>
        <w:rPr>
          <w:rFonts w:ascii="Arial" w:cs="Arial" w:hAnsi="Arial"/>
          <w:sz w:val="24"/>
          <w:szCs w:val="24"/>
        </w:rPr>
      </w:pPr>
      <w:r>
        <w:rPr>
          <w:rFonts w:ascii="Arial" w:cs="Arial" w:hAnsi="Arial"/>
          <w:sz w:val="24"/>
          <w:szCs w:val="24"/>
        </w:rPr>
        <w:t xml:space="preserve">E. Coli has a number of </w:t>
      </w:r>
      <w:r>
        <w:rPr>
          <w:rFonts w:ascii="Arial" w:cs="Arial" w:hAnsi="Arial"/>
          <w:sz w:val="24"/>
          <w:szCs w:val="24"/>
        </w:rPr>
        <w:t>Enteropathogenic</w:t>
      </w:r>
      <w:r>
        <w:rPr>
          <w:rFonts w:ascii="Arial" w:cs="Arial" w:hAnsi="Arial"/>
          <w:sz w:val="24"/>
          <w:szCs w:val="24"/>
        </w:rPr>
        <w:t xml:space="preserve"> characteristics which makes it survive in the small intestines of endotherms </w:t>
      </w:r>
      <w:r>
        <w:rPr>
          <w:rFonts w:ascii="Arial" w:cs="Arial" w:hAnsi="Arial"/>
          <w:sz w:val="24"/>
          <w:szCs w:val="24"/>
        </w:rPr>
        <w:t>(warm blooded animals). Chen et al. (2018, p.286) say t</w:t>
      </w:r>
      <w:r>
        <w:rPr>
          <w:rFonts w:ascii="Arial" w:cs="Arial" w:hAnsi="Arial"/>
          <w:sz w:val="24"/>
          <w:szCs w:val="24"/>
        </w:rPr>
        <w:t xml:space="preserve">he pathogen is rod shaped or simply </w:t>
      </w:r>
      <w:r>
        <w:rPr>
          <w:rFonts w:ascii="Arial" w:cs="Arial" w:hAnsi="Arial"/>
          <w:i/>
          <w:sz w:val="24"/>
          <w:szCs w:val="24"/>
        </w:rPr>
        <w:t>Bacillus,</w:t>
      </w:r>
      <w:r>
        <w:rPr>
          <w:rFonts w:ascii="Arial" w:cs="Arial" w:hAnsi="Arial"/>
          <w:sz w:val="24"/>
          <w:szCs w:val="24"/>
        </w:rPr>
        <w:t xml:space="preserve"> it is also gram negative, non-spore forming</w:t>
      </w:r>
      <w:r>
        <w:rPr>
          <w:rFonts w:ascii="Arial" w:cs="Arial" w:hAnsi="Arial"/>
          <w:sz w:val="24"/>
          <w:szCs w:val="24"/>
        </w:rPr>
        <w:t xml:space="preserve">, grow in </w:t>
      </w:r>
      <w:r>
        <w:rPr>
          <w:rFonts w:ascii="Arial" w:cs="Arial" w:hAnsi="Arial"/>
          <w:sz w:val="24"/>
          <w:szCs w:val="24"/>
        </w:rPr>
        <w:t>MacConkey</w:t>
      </w:r>
      <w:r>
        <w:rPr>
          <w:rFonts w:ascii="Arial" w:cs="Arial" w:hAnsi="Arial"/>
          <w:sz w:val="24"/>
          <w:szCs w:val="24"/>
        </w:rPr>
        <w:t xml:space="preserve"> ager and is</w:t>
      </w:r>
      <w:r>
        <w:rPr>
          <w:rFonts w:ascii="Arial" w:cs="Arial" w:hAnsi="Arial"/>
          <w:sz w:val="24"/>
          <w:szCs w:val="24"/>
        </w:rPr>
        <w:t xml:space="preserve"> motile with </w:t>
      </w:r>
      <w:r>
        <w:rPr>
          <w:rFonts w:ascii="Arial" w:cs="Arial" w:hAnsi="Arial"/>
          <w:sz w:val="24"/>
          <w:szCs w:val="24"/>
        </w:rPr>
        <w:t>peritrichous</w:t>
      </w:r>
      <w:r>
        <w:rPr>
          <w:rFonts w:ascii="Arial" w:cs="Arial" w:hAnsi="Arial"/>
          <w:sz w:val="24"/>
          <w:szCs w:val="24"/>
        </w:rPr>
        <w:t xml:space="preserve"> flagella or in other instances immotile. </w:t>
      </w:r>
      <w:r>
        <w:rPr>
          <w:rFonts w:ascii="Arial" w:cs="Arial" w:hAnsi="Arial"/>
          <w:sz w:val="24"/>
          <w:szCs w:val="24"/>
        </w:rPr>
        <w:t>The bacteria can grow without air (anaerobically) and with air or aerobically. The E. Coli bacteria is capable of producing Shiga toxins which are dangerous to human beings since they can cause se</w:t>
      </w:r>
      <w:r>
        <w:rPr>
          <w:rFonts w:ascii="Arial" w:cs="Arial" w:hAnsi="Arial"/>
          <w:sz w:val="24"/>
          <w:szCs w:val="24"/>
        </w:rPr>
        <w:t>vere enteric diseases</w:t>
      </w:r>
      <w:r>
        <w:rPr>
          <w:rFonts w:ascii="Arial" w:cs="Arial" w:hAnsi="Arial"/>
          <w:sz w:val="24"/>
          <w:szCs w:val="24"/>
        </w:rPr>
        <w:t>. There are over 200 different E. Coli serotypes but two major Shiga toxins have been associated with disease which are Stx1 and Stx2. Shiga toxin producing E. Coli (S</w:t>
      </w:r>
      <w:r>
        <w:rPr>
          <w:rFonts w:ascii="Arial" w:cs="Arial" w:hAnsi="Arial"/>
          <w:sz w:val="24"/>
          <w:szCs w:val="24"/>
        </w:rPr>
        <w:t xml:space="preserve">TEC) can grow in temperatures ranging from 7 °C to 50 °C and the human body temperature of 37 °C being </w:t>
      </w:r>
      <w:r>
        <w:rPr>
          <w:rFonts w:ascii="Arial" w:cs="Arial" w:hAnsi="Arial"/>
          <w:sz w:val="24"/>
          <w:szCs w:val="24"/>
        </w:rPr>
        <w:t>their optimum temperature. Additiona</w:t>
      </w:r>
      <w:r>
        <w:rPr>
          <w:rFonts w:ascii="Arial" w:cs="Arial" w:hAnsi="Arial"/>
          <w:sz w:val="24"/>
          <w:szCs w:val="24"/>
        </w:rPr>
        <w:t xml:space="preserve">lly, STEC is heat-sensitive </w:t>
      </w:r>
      <w:r>
        <w:rPr>
          <w:rFonts w:ascii="Arial" w:cs="Arial" w:hAnsi="Arial"/>
          <w:sz w:val="24"/>
          <w:szCs w:val="24"/>
        </w:rPr>
        <w:t xml:space="preserve">that is why some foods have the “heat thoroughly” label. It means, STEC cannot cope with high temperatures. </w:t>
      </w:r>
    </w:p>
    <w:p>
      <w:pPr>
        <w:pStyle w:val="style0"/>
        <w:spacing w:lineRule="auto" w:line="360"/>
        <w:ind w:firstLine="720"/>
        <w:jc w:val="both"/>
        <w:rPr>
          <w:rFonts w:ascii="Arial" w:cs="Arial" w:hAnsi="Arial"/>
          <w:sz w:val="24"/>
          <w:szCs w:val="24"/>
        </w:rPr>
      </w:pPr>
      <w:r>
        <w:rPr>
          <w:rFonts w:ascii="Arial" w:cs="Arial" w:hAnsi="Arial"/>
          <w:sz w:val="24"/>
          <w:szCs w:val="24"/>
        </w:rPr>
        <w:t xml:space="preserve">Mechanism of Transmission of E. Coli </w:t>
      </w:r>
    </w:p>
    <w:p>
      <w:pPr>
        <w:pStyle w:val="style0"/>
        <w:spacing w:lineRule="auto" w:line="360"/>
        <w:ind w:firstLine="720"/>
        <w:jc w:val="both"/>
        <w:rPr>
          <w:rFonts w:ascii="Arial" w:cs="Arial" w:hAnsi="Arial"/>
          <w:sz w:val="24"/>
          <w:szCs w:val="24"/>
        </w:rPr>
      </w:pPr>
      <w:r>
        <w:rPr>
          <w:rFonts w:ascii="Arial" w:cs="Arial" w:hAnsi="Arial"/>
          <w:sz w:val="24"/>
          <w:szCs w:val="24"/>
        </w:rPr>
        <w:t xml:space="preserve">The main mechanism of </w:t>
      </w:r>
      <w:r>
        <w:rPr>
          <w:rFonts w:ascii="Arial" w:cs="Arial" w:hAnsi="Arial"/>
          <w:sz w:val="24"/>
          <w:szCs w:val="24"/>
        </w:rPr>
        <w:t xml:space="preserve">transmission </w:t>
      </w:r>
      <w:r>
        <w:rPr>
          <w:rFonts w:ascii="Arial" w:cs="Arial" w:hAnsi="Arial"/>
          <w:sz w:val="24"/>
          <w:szCs w:val="24"/>
        </w:rPr>
        <w:t>E. Coli is through contaminated food. For instance, when people eat raw or contaminated</w:t>
      </w:r>
      <w:r>
        <w:rPr>
          <w:rFonts w:ascii="Arial" w:cs="Arial" w:hAnsi="Arial"/>
          <w:sz w:val="24"/>
          <w:szCs w:val="24"/>
        </w:rPr>
        <w:t xml:space="preserve"> food</w:t>
      </w:r>
      <w:r>
        <w:rPr>
          <w:rFonts w:ascii="Arial" w:cs="Arial" w:hAnsi="Arial"/>
          <w:sz w:val="24"/>
          <w:szCs w:val="24"/>
        </w:rPr>
        <w:t>, there are chances that they can be infected</w:t>
      </w:r>
      <w:r>
        <w:rPr>
          <w:rFonts w:ascii="Arial" w:cs="Arial" w:hAnsi="Arial"/>
          <w:sz w:val="24"/>
          <w:szCs w:val="24"/>
        </w:rPr>
        <w:t xml:space="preserve"> with the bacteria. On that note</w:t>
      </w:r>
      <w:r>
        <w:rPr>
          <w:rFonts w:ascii="Arial" w:cs="Arial" w:hAnsi="Arial"/>
          <w:sz w:val="24"/>
          <w:szCs w:val="24"/>
        </w:rPr>
        <w:t>, contaminated vegetables, undercooked ground meat products, raw milk, and sprouts can harbor the bacteria and if consumed</w:t>
      </w:r>
      <w:r>
        <w:rPr>
          <w:rFonts w:ascii="Arial" w:cs="Arial" w:hAnsi="Arial"/>
          <w:sz w:val="24"/>
          <w:szCs w:val="24"/>
        </w:rPr>
        <w:t>/ingested/swallowed/drank</w:t>
      </w:r>
      <w:r>
        <w:rPr>
          <w:rFonts w:ascii="Arial" w:cs="Arial" w:hAnsi="Arial"/>
          <w:sz w:val="24"/>
          <w:szCs w:val="24"/>
        </w:rPr>
        <w:t xml:space="preserve"> one can be infected with E. Coli</w:t>
      </w:r>
      <w:r>
        <w:rPr>
          <w:rFonts w:ascii="Arial" w:cs="Arial" w:hAnsi="Arial"/>
          <w:sz w:val="24"/>
          <w:szCs w:val="24"/>
        </w:rPr>
        <w:t xml:space="preserve"> (Miller et al. 2019, p.85)</w:t>
      </w:r>
      <w:r>
        <w:rPr>
          <w:rFonts w:ascii="Arial" w:cs="Arial" w:hAnsi="Arial"/>
          <w:sz w:val="24"/>
          <w:szCs w:val="24"/>
        </w:rPr>
        <w:t xml:space="preserve">. </w:t>
      </w:r>
      <w:r>
        <w:rPr>
          <w:rFonts w:ascii="Arial" w:cs="Arial" w:hAnsi="Arial"/>
          <w:sz w:val="24"/>
          <w:szCs w:val="24"/>
        </w:rPr>
        <w:t>It is important to note that the bacteria while in animals is asymptomatic and therefore it is hard to identify animals that are sick from the bacteria. Thus, handling of animals (cows</w:t>
      </w:r>
      <w:r>
        <w:rPr>
          <w:rFonts w:ascii="Arial" w:cs="Arial" w:hAnsi="Arial"/>
          <w:sz w:val="24"/>
          <w:szCs w:val="24"/>
        </w:rPr>
        <w:t xml:space="preserve"> and pets</w:t>
      </w:r>
      <w:r>
        <w:rPr>
          <w:rFonts w:ascii="Arial" w:cs="Arial" w:hAnsi="Arial"/>
          <w:sz w:val="24"/>
          <w:szCs w:val="24"/>
        </w:rPr>
        <w:t>)</w:t>
      </w:r>
      <w:r>
        <w:rPr>
          <w:rFonts w:ascii="Arial" w:cs="Arial" w:hAnsi="Arial"/>
          <w:sz w:val="24"/>
          <w:szCs w:val="24"/>
        </w:rPr>
        <w:t xml:space="preserve"> as well as</w:t>
      </w:r>
      <w:r>
        <w:rPr>
          <w:rFonts w:ascii="Arial" w:cs="Arial" w:hAnsi="Arial"/>
          <w:sz w:val="24"/>
          <w:szCs w:val="24"/>
        </w:rPr>
        <w:t xml:space="preserve"> poultry, even without consuming them could lead to contamination with the bacteria which is symptomatic in human beings. </w:t>
      </w:r>
      <w:r>
        <w:rPr>
          <w:rFonts w:ascii="Arial" w:cs="Arial" w:hAnsi="Arial"/>
          <w:sz w:val="24"/>
          <w:szCs w:val="24"/>
        </w:rPr>
        <w:t xml:space="preserve">Therefore, unhygienic handling of vegetables, animals’ products, and </w:t>
      </w:r>
      <w:r>
        <w:rPr>
          <w:rFonts w:ascii="Arial" w:cs="Arial" w:hAnsi="Arial"/>
          <w:sz w:val="24"/>
          <w:szCs w:val="24"/>
        </w:rPr>
        <w:t>eating undercooked/warmed</w:t>
      </w:r>
      <w:r>
        <w:rPr>
          <w:rFonts w:ascii="Arial" w:cs="Arial" w:hAnsi="Arial"/>
          <w:sz w:val="24"/>
          <w:szCs w:val="24"/>
        </w:rPr>
        <w:t xml:space="preserve"> foods are the main mechanisms of transmission of the STEC bacteria. </w:t>
      </w:r>
      <w:r>
        <w:rPr>
          <w:rFonts w:ascii="Arial" w:cs="Arial" w:hAnsi="Arial"/>
          <w:sz w:val="24"/>
          <w:szCs w:val="24"/>
        </w:rPr>
        <w:t xml:space="preserve">Ingestion of the bacteria makes it travel down the alimentally canal but it pitches camp in the small intestines. It then produces the Shiga toxin in there which destroys the walls of the small intestines. </w:t>
      </w:r>
    </w:p>
    <w:p>
      <w:pPr>
        <w:pStyle w:val="style0"/>
        <w:spacing w:lineRule="auto" w:line="360"/>
        <w:ind w:firstLine="720"/>
        <w:jc w:val="both"/>
        <w:rPr>
          <w:rFonts w:ascii="Arial" w:cs="Arial" w:hAnsi="Arial"/>
          <w:sz w:val="24"/>
          <w:szCs w:val="24"/>
        </w:rPr>
      </w:pPr>
      <w:r>
        <w:rPr>
          <w:rFonts w:ascii="Arial" w:cs="Arial" w:hAnsi="Arial"/>
          <w:sz w:val="24"/>
          <w:szCs w:val="24"/>
        </w:rPr>
        <w:t xml:space="preserve">Serious Illnesses from E. Coli </w:t>
      </w:r>
    </w:p>
    <w:p>
      <w:pPr>
        <w:pStyle w:val="style0"/>
        <w:spacing w:lineRule="auto" w:line="360"/>
        <w:ind w:firstLine="720"/>
        <w:jc w:val="both"/>
        <w:rPr>
          <w:rFonts w:ascii="Arial" w:cs="Arial" w:hAnsi="Arial"/>
          <w:sz w:val="24"/>
          <w:szCs w:val="24"/>
        </w:rPr>
      </w:pPr>
      <w:r>
        <w:rPr>
          <w:rFonts w:ascii="Arial" w:cs="Arial" w:hAnsi="Arial"/>
          <w:sz w:val="24"/>
          <w:szCs w:val="24"/>
        </w:rPr>
        <w:t xml:space="preserve">The symptoms of the STEC strain of E. Coli can be felt even as earlier as a day after infection while in other cases they can last even up to five days of drinking or eating contaminated food. Most of the E. Coli strains are mild and do not pose serious health risks and an infected person can get well by resting and drinking a lot of fluids. However, on the extreme, one can have severe symptoms which could be life threatening. People with lower immunity like children and the elderly might develop the hemolytic uretic syndrome (HUS) that can lead to serious problems like kidney failure and death. </w:t>
      </w:r>
      <w:r>
        <w:rPr>
          <w:rFonts w:ascii="Arial" w:cs="Arial" w:hAnsi="Arial"/>
          <w:sz w:val="24"/>
          <w:szCs w:val="24"/>
        </w:rPr>
        <w:t>Perhaps, it is important to understand HUS as when children (especially below 5 years) get infected with STEC strain, they get the HUS condition</w:t>
      </w:r>
      <w:r>
        <w:rPr>
          <w:rFonts w:ascii="Arial" w:cs="Arial" w:hAnsi="Arial"/>
          <w:sz w:val="24"/>
          <w:szCs w:val="24"/>
        </w:rPr>
        <w:t xml:space="preserve"> (Wang et al. 2020, p.103572)</w:t>
      </w:r>
      <w:r>
        <w:rPr>
          <w:rFonts w:ascii="Arial" w:cs="Arial" w:hAnsi="Arial"/>
          <w:sz w:val="24"/>
          <w:szCs w:val="24"/>
        </w:rPr>
        <w:t xml:space="preserve">. With HUS, toxins in the intestines from STEC cause diarrhea, travel to the blood stream damaging the red blood cells and kidneys in the process. </w:t>
      </w:r>
    </w:p>
    <w:p>
      <w:pPr>
        <w:pStyle w:val="style0"/>
        <w:spacing w:lineRule="auto" w:line="360"/>
        <w:ind w:firstLine="720"/>
        <w:jc w:val="both"/>
        <w:rPr>
          <w:rFonts w:ascii="Arial" w:cs="Arial" w:hAnsi="Arial"/>
          <w:sz w:val="24"/>
          <w:szCs w:val="24"/>
        </w:rPr>
      </w:pPr>
      <w:r>
        <w:rPr>
          <w:rFonts w:ascii="Arial" w:cs="Arial" w:hAnsi="Arial"/>
          <w:sz w:val="24"/>
          <w:szCs w:val="24"/>
        </w:rPr>
        <w:t>There are several early and latter symptoms of HUS which is potentially life threatening and is able to affect 5%-10% of people infected with STEC</w:t>
      </w:r>
      <w:r>
        <w:rPr>
          <w:rFonts w:ascii="Arial" w:cs="Arial" w:hAnsi="Arial"/>
          <w:sz w:val="24"/>
          <w:szCs w:val="24"/>
        </w:rPr>
        <w:t xml:space="preserve"> (Wang et al 2020, p.103572)</w:t>
      </w:r>
      <w:r>
        <w:rPr>
          <w:rFonts w:ascii="Arial" w:cs="Arial" w:hAnsi="Arial"/>
          <w:sz w:val="24"/>
          <w:szCs w:val="24"/>
        </w:rPr>
        <w:t xml:space="preserve">. Serious diarrhea which is bloody, fever, stomach pain and vomiting, which all form the early symptoms of HUS. Progression of the disease leads to urine decrease, feeling of tiredness, and a pale skin. Also, lightheadedness, seizures, confusion, and sleepiness with the eventuality of kidney failures. </w:t>
      </w:r>
      <w:r>
        <w:rPr>
          <w:rFonts w:ascii="Arial" w:cs="Arial" w:hAnsi="Arial"/>
          <w:sz w:val="24"/>
          <w:szCs w:val="24"/>
        </w:rPr>
        <w:t xml:space="preserve">It is also important to bear in mind that with more than two days of diarrhea, very high chances are that one will be dehydrated. </w:t>
      </w:r>
    </w:p>
    <w:p>
      <w:pPr>
        <w:pStyle w:val="style0"/>
        <w:spacing w:lineRule="auto" w:line="360"/>
        <w:ind w:firstLine="720"/>
        <w:jc w:val="both"/>
        <w:rPr>
          <w:rFonts w:ascii="Arial" w:cs="Arial" w:hAnsi="Arial"/>
          <w:sz w:val="24"/>
          <w:szCs w:val="24"/>
        </w:rPr>
      </w:pPr>
      <w:r>
        <w:rPr>
          <w:rFonts w:ascii="Arial" w:cs="Arial" w:hAnsi="Arial"/>
          <w:sz w:val="24"/>
          <w:szCs w:val="24"/>
        </w:rPr>
        <w:t xml:space="preserve">E. Coli Treatment </w:t>
      </w:r>
    </w:p>
    <w:p>
      <w:pPr>
        <w:pStyle w:val="style0"/>
        <w:spacing w:lineRule="auto" w:line="360"/>
        <w:ind w:firstLine="720"/>
        <w:jc w:val="both"/>
        <w:rPr>
          <w:rFonts w:ascii="Arial" w:cs="Arial" w:hAnsi="Arial"/>
          <w:sz w:val="24"/>
          <w:szCs w:val="24"/>
        </w:rPr>
      </w:pPr>
      <w:r>
        <w:rPr>
          <w:rFonts w:ascii="Arial" w:cs="Arial" w:hAnsi="Arial"/>
          <w:sz w:val="24"/>
          <w:szCs w:val="24"/>
        </w:rPr>
        <w:t xml:space="preserve">Treatment of E. Coli starts with the diagnosis which starts by taking samples of suspected case’s stood for lab test. It is important to pre-mention that there is no current treatment of the disease but means to reduce the symptoms. When the Shiga toxins are confirmed in the patient’s stool, </w:t>
      </w:r>
      <w:r>
        <w:rPr>
          <w:rFonts w:ascii="Arial" w:cs="Arial" w:hAnsi="Arial"/>
          <w:sz w:val="24"/>
          <w:szCs w:val="24"/>
        </w:rPr>
        <w:t>Khatoon</w:t>
      </w:r>
      <w:r>
        <w:rPr>
          <w:rFonts w:ascii="Arial" w:cs="Arial" w:hAnsi="Arial"/>
          <w:sz w:val="24"/>
          <w:szCs w:val="24"/>
        </w:rPr>
        <w:t xml:space="preserve"> et al. (2018, </w:t>
      </w:r>
      <w:r>
        <w:rPr>
          <w:rFonts w:ascii="Arial" w:cs="Arial" w:hAnsi="Arial"/>
          <w:sz w:val="24"/>
          <w:szCs w:val="24"/>
        </w:rPr>
        <w:t>p.e</w:t>
      </w:r>
      <w:r>
        <w:rPr>
          <w:rFonts w:ascii="Arial" w:cs="Arial" w:hAnsi="Arial"/>
          <w:sz w:val="24"/>
          <w:szCs w:val="24"/>
        </w:rPr>
        <w:t xml:space="preserve">01067) say </w:t>
      </w:r>
      <w:r>
        <w:rPr>
          <w:rFonts w:ascii="Arial" w:cs="Arial" w:hAnsi="Arial"/>
          <w:sz w:val="24"/>
          <w:szCs w:val="24"/>
        </w:rPr>
        <w:t xml:space="preserve">the patient will be advised by the doctor to take a rest and drink fluids to help prevent dehydration and fatigue. The patients are also advised not to take antidiarrheal drugs because that leads to limiting </w:t>
      </w:r>
      <w:r>
        <w:rPr>
          <w:rFonts w:ascii="Arial" w:cs="Arial" w:hAnsi="Arial"/>
          <w:sz w:val="24"/>
          <w:szCs w:val="24"/>
        </w:rPr>
        <w:t xml:space="preserve">getting rid of the toxins. </w:t>
      </w:r>
    </w:p>
    <w:p>
      <w:pPr>
        <w:pStyle w:val="style0"/>
        <w:spacing w:lineRule="auto" w:line="360"/>
        <w:ind w:firstLine="720"/>
        <w:jc w:val="both"/>
        <w:rPr>
          <w:rFonts w:ascii="Arial" w:cs="Arial" w:hAnsi="Arial"/>
          <w:sz w:val="24"/>
          <w:szCs w:val="24"/>
        </w:rPr>
      </w:pPr>
      <w:r>
        <w:rPr>
          <w:rFonts w:ascii="Arial" w:cs="Arial" w:hAnsi="Arial"/>
          <w:sz w:val="24"/>
          <w:szCs w:val="24"/>
        </w:rPr>
        <w:t xml:space="preserve">For serious cases like the development of hemolytic uretic syndrome which might lead to kidney failure, a patient will certainly be hospitalized. The treatment for serious cases include IV fluids to help in hydration. Also, the patient will be blood transfused as well as be subjected to kidney dialysis. </w:t>
      </w:r>
    </w:p>
    <w:p>
      <w:pPr>
        <w:pStyle w:val="style0"/>
        <w:spacing w:lineRule="auto" w:line="360"/>
        <w:ind w:firstLine="720"/>
        <w:jc w:val="both"/>
        <w:rPr>
          <w:rFonts w:ascii="Arial" w:cs="Arial" w:hAnsi="Arial"/>
          <w:sz w:val="24"/>
          <w:szCs w:val="24"/>
        </w:rPr>
      </w:pPr>
      <w:r>
        <w:rPr>
          <w:rFonts w:ascii="Arial" w:cs="Arial" w:hAnsi="Arial"/>
          <w:sz w:val="24"/>
          <w:szCs w:val="24"/>
        </w:rPr>
        <w:t>How to prevent another break-</w:t>
      </w:r>
      <w:r>
        <w:rPr>
          <w:rFonts w:ascii="Arial" w:cs="Arial" w:hAnsi="Arial"/>
          <w:sz w:val="24"/>
          <w:szCs w:val="24"/>
        </w:rPr>
        <w:t>out</w:t>
      </w:r>
      <w:r>
        <w:rPr>
          <w:rFonts w:ascii="Arial" w:cs="Arial" w:hAnsi="Arial"/>
          <w:sz w:val="24"/>
          <w:szCs w:val="24"/>
        </w:rPr>
        <w:t xml:space="preserve"> </w:t>
      </w:r>
    </w:p>
    <w:p>
      <w:pPr>
        <w:pStyle w:val="style0"/>
        <w:spacing w:lineRule="auto" w:line="360"/>
        <w:ind w:firstLine="720"/>
        <w:jc w:val="both"/>
        <w:rPr>
          <w:rFonts w:ascii="Arial" w:cs="Arial" w:hAnsi="Arial"/>
          <w:sz w:val="24"/>
          <w:szCs w:val="24"/>
        </w:rPr>
      </w:pPr>
      <w:r>
        <w:rPr>
          <w:rFonts w:ascii="Arial" w:cs="Arial" w:hAnsi="Arial"/>
          <w:sz w:val="24"/>
          <w:szCs w:val="24"/>
        </w:rPr>
        <w:t>There are a number of ways in the break-out can be prevented from occurring. The first thing is to is to warn the public against consuming chicken from the supermarket if they have bought some are it is still in their fridges. Besides, ordering the temporary order stoppage of the supermarket from selling the roasted chicken to parties because people at parties do not have time to and heat/recook the roasted chicken</w:t>
      </w:r>
      <w:r>
        <w:rPr>
          <w:rFonts w:ascii="Arial" w:cs="Arial" w:hAnsi="Arial"/>
          <w:sz w:val="24"/>
          <w:szCs w:val="24"/>
        </w:rPr>
        <w:t xml:space="preserve"> (Kim 2020, p352)</w:t>
      </w:r>
      <w:r>
        <w:rPr>
          <w:rFonts w:ascii="Arial" w:cs="Arial" w:hAnsi="Arial"/>
          <w:sz w:val="24"/>
          <w:szCs w:val="24"/>
        </w:rPr>
        <w:t xml:space="preserve">. The public should also be advised to thoroughly cook food stuffs like vegetables, boil milk thoroughly, as well cook chicken and any other meat under high temperatures in order to kill bacteria. The other thing is to secure a ward in the local hospital for those who are already infected and treat them. </w:t>
      </w:r>
    </w:p>
    <w:p>
      <w:pPr>
        <w:pStyle w:val="style0"/>
        <w:spacing w:lineRule="auto" w:line="360"/>
        <w:ind w:firstLine="720"/>
        <w:jc w:val="both"/>
        <w:rPr>
          <w:rFonts w:ascii="Arial" w:cs="Arial" w:hAnsi="Arial"/>
          <w:sz w:val="24"/>
          <w:szCs w:val="24"/>
        </w:rPr>
      </w:pPr>
      <w:r>
        <w:rPr>
          <w:rFonts w:ascii="Arial" w:cs="Arial" w:hAnsi="Arial"/>
          <w:sz w:val="24"/>
          <w:szCs w:val="24"/>
        </w:rPr>
        <w:t xml:space="preserve">The populace should also be advised to observe high levels of cleanliness if they want to steer clear of the disease. For instance, they should wash their hands thoroughly as well as the dishes. People should also be advised to keep raw foods separately from cooked ones while ensuring that children wash hands before eating, visiting toilets, or after they get into contact with animals. </w:t>
      </w:r>
    </w:p>
    <w:p>
      <w:pPr>
        <w:pStyle w:val="style0"/>
        <w:spacing w:lineRule="auto" w:line="360"/>
        <w:ind w:firstLine="720"/>
        <w:jc w:val="both"/>
        <w:rPr>
          <w:rFonts w:ascii="Arial" w:cs="Arial" w:hAnsi="Arial"/>
          <w:sz w:val="24"/>
          <w:szCs w:val="24"/>
        </w:rPr>
      </w:pPr>
      <w:r>
        <w:rPr>
          <w:rFonts w:ascii="Arial" w:cs="Arial" w:hAnsi="Arial"/>
          <w:sz w:val="24"/>
          <w:szCs w:val="24"/>
        </w:rPr>
        <w:t xml:space="preserve">Conclusion </w:t>
      </w:r>
    </w:p>
    <w:p>
      <w:pPr>
        <w:pStyle w:val="style0"/>
        <w:spacing w:lineRule="auto" w:line="360"/>
        <w:ind w:firstLine="720"/>
        <w:jc w:val="both"/>
        <w:rPr>
          <w:rFonts w:ascii="Arial" w:cs="Arial" w:hAnsi="Arial"/>
          <w:sz w:val="24"/>
          <w:szCs w:val="24"/>
        </w:rPr>
      </w:pPr>
      <w:r>
        <w:rPr>
          <w:rFonts w:ascii="Arial" w:cs="Arial" w:hAnsi="Arial"/>
          <w:sz w:val="24"/>
          <w:szCs w:val="24"/>
        </w:rPr>
        <w:t xml:space="preserve">Infectious diseases that come with food poisoning are usually underrated but when they occur they cause far reaching impacts in communities. </w:t>
      </w:r>
      <w:r>
        <w:rPr>
          <w:rFonts w:ascii="Arial" w:cs="Arial" w:hAnsi="Arial"/>
          <w:sz w:val="24"/>
          <w:szCs w:val="24"/>
        </w:rPr>
        <w:t xml:space="preserve">E. Coli is one of the food poisoning pathogens whose symptoms could be mild or deadly if they advance and become hemolytic uretic syndromes. Thus, those with E. Coli are advised to take a lot fluid to avoid dehydration and </w:t>
      </w:r>
      <w:r>
        <w:rPr>
          <w:rFonts w:ascii="Arial" w:cs="Arial" w:hAnsi="Arial"/>
          <w:sz w:val="24"/>
          <w:szCs w:val="24"/>
        </w:rPr>
        <w:t xml:space="preserve">as well as advised to </w:t>
      </w:r>
      <w:r>
        <w:rPr>
          <w:rFonts w:ascii="Arial" w:cs="Arial" w:hAnsi="Arial"/>
          <w:sz w:val="24"/>
          <w:szCs w:val="24"/>
        </w:rPr>
        <w:t xml:space="preserve">rest. In serious cases, hospitalization is advised. However, people can prevent the disease by observing thorough cleanliness of their hands, thorough cooking of foods especially vegetables and meat from animals and animal products like milk. </w:t>
      </w:r>
    </w:p>
    <w:p>
      <w:pPr>
        <w:pStyle w:val="style0"/>
        <w:spacing w:lineRule="auto" w:line="360"/>
        <w:ind w:firstLine="720"/>
        <w:jc w:val="center"/>
        <w:rPr>
          <w:rFonts w:ascii="Arial" w:cs="Arial" w:hAnsi="Arial"/>
          <w:sz w:val="24"/>
          <w:szCs w:val="24"/>
        </w:rPr>
      </w:pPr>
    </w:p>
    <w:p>
      <w:pPr>
        <w:pStyle w:val="style0"/>
        <w:spacing w:lineRule="auto" w:line="360"/>
        <w:ind w:firstLine="720"/>
        <w:jc w:val="center"/>
        <w:rPr>
          <w:rFonts w:ascii="Arial" w:cs="Arial" w:hAnsi="Arial"/>
          <w:sz w:val="24"/>
          <w:szCs w:val="24"/>
        </w:rPr>
      </w:pPr>
    </w:p>
    <w:p>
      <w:pPr>
        <w:pStyle w:val="style0"/>
        <w:spacing w:lineRule="auto" w:line="360"/>
        <w:ind w:firstLine="720"/>
        <w:jc w:val="center"/>
        <w:rPr>
          <w:rFonts w:ascii="Arial" w:cs="Arial" w:hAnsi="Arial"/>
          <w:sz w:val="24"/>
          <w:szCs w:val="24"/>
        </w:rPr>
      </w:pPr>
    </w:p>
    <w:p>
      <w:pPr>
        <w:pStyle w:val="style0"/>
        <w:spacing w:lineRule="auto" w:line="360"/>
        <w:ind w:firstLine="720"/>
        <w:jc w:val="center"/>
        <w:rPr>
          <w:rFonts w:ascii="Arial" w:cs="Arial" w:hAnsi="Arial"/>
          <w:sz w:val="24"/>
          <w:szCs w:val="24"/>
        </w:rPr>
      </w:pPr>
    </w:p>
    <w:p>
      <w:pPr>
        <w:pStyle w:val="style0"/>
        <w:spacing w:lineRule="auto" w:line="360"/>
        <w:ind w:firstLine="720"/>
        <w:jc w:val="center"/>
        <w:rPr>
          <w:rFonts w:ascii="Arial" w:cs="Arial" w:hAnsi="Arial"/>
          <w:sz w:val="24"/>
          <w:szCs w:val="24"/>
        </w:rPr>
      </w:pPr>
    </w:p>
    <w:p>
      <w:pPr>
        <w:pStyle w:val="style0"/>
        <w:spacing w:lineRule="auto" w:line="360"/>
        <w:ind w:firstLine="720"/>
        <w:jc w:val="center"/>
        <w:rPr>
          <w:rFonts w:ascii="Arial" w:cs="Arial" w:hAnsi="Arial"/>
          <w:sz w:val="24"/>
          <w:szCs w:val="24"/>
        </w:rPr>
      </w:pPr>
    </w:p>
    <w:p>
      <w:pPr>
        <w:pStyle w:val="style0"/>
        <w:spacing w:lineRule="auto" w:line="360"/>
        <w:ind w:firstLine="720"/>
        <w:jc w:val="center"/>
        <w:rPr>
          <w:rFonts w:ascii="Arial" w:cs="Arial" w:hAnsi="Arial"/>
          <w:sz w:val="24"/>
          <w:szCs w:val="24"/>
        </w:rPr>
      </w:pPr>
    </w:p>
    <w:p>
      <w:pPr>
        <w:pStyle w:val="style0"/>
        <w:spacing w:lineRule="auto" w:line="360"/>
        <w:ind w:firstLine="720"/>
        <w:jc w:val="center"/>
        <w:rPr>
          <w:rFonts w:ascii="Arial" w:cs="Arial" w:hAnsi="Arial"/>
          <w:sz w:val="24"/>
          <w:szCs w:val="24"/>
        </w:rPr>
      </w:pPr>
    </w:p>
    <w:p>
      <w:pPr>
        <w:pStyle w:val="style0"/>
        <w:spacing w:lineRule="auto" w:line="360"/>
        <w:ind w:firstLine="720"/>
        <w:jc w:val="center"/>
        <w:rPr>
          <w:rFonts w:ascii="Arial" w:cs="Arial" w:hAnsi="Arial"/>
          <w:sz w:val="24"/>
          <w:szCs w:val="24"/>
        </w:rPr>
      </w:pPr>
    </w:p>
    <w:p>
      <w:pPr>
        <w:pStyle w:val="style0"/>
        <w:spacing w:lineRule="auto" w:line="360"/>
        <w:ind w:firstLine="720"/>
        <w:jc w:val="center"/>
        <w:rPr>
          <w:rFonts w:ascii="Arial" w:cs="Arial" w:hAnsi="Arial"/>
          <w:sz w:val="24"/>
          <w:szCs w:val="24"/>
        </w:rPr>
      </w:pPr>
    </w:p>
    <w:bookmarkStart w:id="0" w:name="_GoBack"/>
    <w:bookmarkEnd w:id="0"/>
    <w:p>
      <w:pPr>
        <w:pStyle w:val="style0"/>
        <w:spacing w:lineRule="auto" w:line="360"/>
        <w:rPr>
          <w:rFonts w:ascii="Arial" w:cs="Arial" w:hAnsi="Arial"/>
          <w:sz w:val="24"/>
          <w:szCs w:val="24"/>
        </w:rPr>
      </w:pPr>
    </w:p>
    <w:p>
      <w:pPr>
        <w:pStyle w:val="style0"/>
        <w:spacing w:lineRule="auto" w:line="360"/>
        <w:ind w:firstLine="720"/>
        <w:jc w:val="center"/>
        <w:rPr>
          <w:rFonts w:ascii="Arial" w:cs="Arial" w:hAnsi="Arial"/>
          <w:sz w:val="24"/>
          <w:szCs w:val="24"/>
        </w:rPr>
      </w:pPr>
    </w:p>
    <w:p>
      <w:pPr>
        <w:pStyle w:val="style0"/>
        <w:spacing w:lineRule="auto" w:line="360"/>
        <w:ind w:firstLine="720"/>
        <w:jc w:val="center"/>
        <w:rPr>
          <w:rFonts w:ascii="Arial" w:cs="Arial" w:hAnsi="Arial"/>
          <w:sz w:val="24"/>
          <w:szCs w:val="24"/>
        </w:rPr>
      </w:pPr>
      <w:r>
        <w:rPr>
          <w:rFonts w:ascii="Arial" w:cs="Arial" w:hAnsi="Arial"/>
          <w:sz w:val="24"/>
          <w:szCs w:val="24"/>
        </w:rPr>
        <w:t xml:space="preserve">References </w:t>
      </w:r>
    </w:p>
    <w:p>
      <w:pPr>
        <w:pStyle w:val="style0"/>
        <w:spacing w:lineRule="auto" w:line="360"/>
        <w:ind w:left="720" w:hanging="720"/>
        <w:rPr>
          <w:rFonts w:ascii="Arial" w:cs="Arial" w:hAnsi="Arial"/>
          <w:sz w:val="24"/>
          <w:szCs w:val="24"/>
        </w:rPr>
      </w:pPr>
      <w:r>
        <w:rPr>
          <w:rFonts w:ascii="Arial" w:cs="Arial" w:hAnsi="Arial"/>
          <w:sz w:val="24"/>
          <w:szCs w:val="24"/>
        </w:rPr>
        <w:t xml:space="preserve">Chen, S., Li, X., Wang, Y., Zeng, J., Ye, C., Li, X., </w:t>
      </w:r>
      <w:r>
        <w:rPr>
          <w:rFonts w:ascii="Arial" w:cs="Arial" w:hAnsi="Arial"/>
          <w:sz w:val="24"/>
          <w:szCs w:val="24"/>
        </w:rPr>
        <w:t>Guo</w:t>
      </w:r>
      <w:r>
        <w:rPr>
          <w:rFonts w:ascii="Arial" w:cs="Arial" w:hAnsi="Arial"/>
          <w:sz w:val="24"/>
          <w:szCs w:val="24"/>
        </w:rPr>
        <w:t>, L., Zhang, S. and Yu, X., 2018. Induction of Escherichia coli into a VBNC state through chlorination/</w:t>
      </w:r>
      <w:r>
        <w:rPr>
          <w:rFonts w:ascii="Arial" w:cs="Arial" w:hAnsi="Arial"/>
          <w:sz w:val="24"/>
          <w:szCs w:val="24"/>
        </w:rPr>
        <w:t>chloramination</w:t>
      </w:r>
      <w:r>
        <w:rPr>
          <w:rFonts w:ascii="Arial" w:cs="Arial" w:hAnsi="Arial"/>
          <w:sz w:val="24"/>
          <w:szCs w:val="24"/>
        </w:rPr>
        <w:t xml:space="preserve"> and differences in characteristics of the bacterium between states. </w:t>
      </w:r>
      <w:r>
        <w:rPr>
          <w:rFonts w:ascii="Arial" w:cs="Arial" w:hAnsi="Arial"/>
          <w:i/>
          <w:iCs/>
          <w:sz w:val="24"/>
          <w:szCs w:val="24"/>
        </w:rPr>
        <w:t>Water research</w:t>
      </w:r>
      <w:r>
        <w:rPr>
          <w:rFonts w:ascii="Arial" w:cs="Arial" w:hAnsi="Arial"/>
          <w:sz w:val="24"/>
          <w:szCs w:val="24"/>
        </w:rPr>
        <w:t>, </w:t>
      </w:r>
      <w:r>
        <w:rPr>
          <w:rFonts w:ascii="Arial" w:cs="Arial" w:hAnsi="Arial"/>
          <w:i/>
          <w:iCs/>
          <w:sz w:val="24"/>
          <w:szCs w:val="24"/>
        </w:rPr>
        <w:t>142</w:t>
      </w:r>
      <w:r>
        <w:rPr>
          <w:rFonts w:ascii="Arial" w:cs="Arial" w:hAnsi="Arial"/>
          <w:sz w:val="24"/>
          <w:szCs w:val="24"/>
        </w:rPr>
        <w:t>, pp.279-288.</w:t>
      </w:r>
    </w:p>
    <w:p>
      <w:pPr>
        <w:pStyle w:val="style0"/>
        <w:spacing w:lineRule="auto" w:line="360"/>
        <w:ind w:left="720" w:hanging="720"/>
        <w:rPr>
          <w:rFonts w:ascii="Arial" w:cs="Arial" w:hAnsi="Arial"/>
          <w:sz w:val="24"/>
          <w:szCs w:val="24"/>
        </w:rPr>
      </w:pPr>
      <w:r>
        <w:rPr>
          <w:rFonts w:ascii="Arial" w:cs="Arial" w:hAnsi="Arial"/>
          <w:sz w:val="24"/>
          <w:szCs w:val="24"/>
        </w:rPr>
        <w:t xml:space="preserve">Griffiths, M.W. and </w:t>
      </w:r>
      <w:r>
        <w:rPr>
          <w:rFonts w:ascii="Arial" w:cs="Arial" w:hAnsi="Arial"/>
          <w:sz w:val="24"/>
          <w:szCs w:val="24"/>
        </w:rPr>
        <w:t>Schraft</w:t>
      </w:r>
      <w:r>
        <w:rPr>
          <w:rFonts w:ascii="Arial" w:cs="Arial" w:hAnsi="Arial"/>
          <w:sz w:val="24"/>
          <w:szCs w:val="24"/>
        </w:rPr>
        <w:t>, H., 2017. Bacillus cereus food poisoning. In </w:t>
      </w:r>
      <w:r>
        <w:rPr>
          <w:rFonts w:ascii="Arial" w:cs="Arial" w:hAnsi="Arial"/>
          <w:i/>
          <w:iCs/>
          <w:sz w:val="24"/>
          <w:szCs w:val="24"/>
        </w:rPr>
        <w:t>Foodborne diseases</w:t>
      </w:r>
      <w:r>
        <w:rPr>
          <w:rFonts w:ascii="Arial" w:cs="Arial" w:hAnsi="Arial"/>
          <w:sz w:val="24"/>
          <w:szCs w:val="24"/>
        </w:rPr>
        <w:t> (pp. 395-405). Academic Press.</w:t>
      </w:r>
    </w:p>
    <w:p>
      <w:pPr>
        <w:pStyle w:val="style0"/>
        <w:spacing w:lineRule="auto" w:line="360"/>
        <w:ind w:left="720" w:hanging="720"/>
        <w:rPr>
          <w:rFonts w:ascii="Arial" w:cs="Arial" w:hAnsi="Arial"/>
          <w:sz w:val="24"/>
          <w:szCs w:val="24"/>
        </w:rPr>
      </w:pPr>
      <w:r>
        <w:rPr>
          <w:rFonts w:ascii="Arial" w:cs="Arial" w:hAnsi="Arial"/>
          <w:sz w:val="24"/>
          <w:szCs w:val="24"/>
        </w:rPr>
        <w:t>Khatoon</w:t>
      </w:r>
      <w:r>
        <w:rPr>
          <w:rFonts w:ascii="Arial" w:cs="Arial" w:hAnsi="Arial"/>
          <w:sz w:val="24"/>
          <w:szCs w:val="24"/>
        </w:rPr>
        <w:t xml:space="preserve">, Z., </w:t>
      </w:r>
      <w:r>
        <w:rPr>
          <w:rFonts w:ascii="Arial" w:cs="Arial" w:hAnsi="Arial"/>
          <w:sz w:val="24"/>
          <w:szCs w:val="24"/>
        </w:rPr>
        <w:t>McTiernan</w:t>
      </w:r>
      <w:r>
        <w:rPr>
          <w:rFonts w:ascii="Arial" w:cs="Arial" w:hAnsi="Arial"/>
          <w:sz w:val="24"/>
          <w:szCs w:val="24"/>
        </w:rPr>
        <w:t xml:space="preserve">, C.D., </w:t>
      </w:r>
      <w:r>
        <w:rPr>
          <w:rFonts w:ascii="Arial" w:cs="Arial" w:hAnsi="Arial"/>
          <w:sz w:val="24"/>
          <w:szCs w:val="24"/>
        </w:rPr>
        <w:t>Suuronen</w:t>
      </w:r>
      <w:r>
        <w:rPr>
          <w:rFonts w:ascii="Arial" w:cs="Arial" w:hAnsi="Arial"/>
          <w:sz w:val="24"/>
          <w:szCs w:val="24"/>
        </w:rPr>
        <w:t xml:space="preserve">, E.J., </w:t>
      </w:r>
      <w:r>
        <w:rPr>
          <w:rFonts w:ascii="Arial" w:cs="Arial" w:hAnsi="Arial"/>
          <w:sz w:val="24"/>
          <w:szCs w:val="24"/>
        </w:rPr>
        <w:t>Mah</w:t>
      </w:r>
      <w:r>
        <w:rPr>
          <w:rFonts w:ascii="Arial" w:cs="Arial" w:hAnsi="Arial"/>
          <w:sz w:val="24"/>
          <w:szCs w:val="24"/>
        </w:rPr>
        <w:t>, T.F. and Alarcon, E.I., 2018. Bacterial biofilm formation on implantable devices and approaches to its treatment and prevention. </w:t>
      </w:r>
      <w:r>
        <w:rPr>
          <w:rFonts w:ascii="Arial" w:cs="Arial" w:hAnsi="Arial"/>
          <w:i/>
          <w:iCs/>
          <w:sz w:val="24"/>
          <w:szCs w:val="24"/>
        </w:rPr>
        <w:t>Heliyon</w:t>
      </w:r>
      <w:r>
        <w:rPr>
          <w:rFonts w:ascii="Arial" w:cs="Arial" w:hAnsi="Arial"/>
          <w:sz w:val="24"/>
          <w:szCs w:val="24"/>
        </w:rPr>
        <w:t>, </w:t>
      </w:r>
      <w:r>
        <w:rPr>
          <w:rFonts w:ascii="Arial" w:cs="Arial" w:hAnsi="Arial"/>
          <w:i/>
          <w:iCs/>
          <w:sz w:val="24"/>
          <w:szCs w:val="24"/>
        </w:rPr>
        <w:t>4</w:t>
      </w:r>
      <w:r>
        <w:rPr>
          <w:rFonts w:ascii="Arial" w:cs="Arial" w:hAnsi="Arial"/>
          <w:sz w:val="24"/>
          <w:szCs w:val="24"/>
        </w:rPr>
        <w:t xml:space="preserve">(12), </w:t>
      </w:r>
      <w:r>
        <w:rPr>
          <w:rFonts w:ascii="Arial" w:cs="Arial" w:hAnsi="Arial"/>
          <w:sz w:val="24"/>
          <w:szCs w:val="24"/>
        </w:rPr>
        <w:t>p.e</w:t>
      </w:r>
      <w:r>
        <w:rPr>
          <w:rFonts w:ascii="Arial" w:cs="Arial" w:hAnsi="Arial"/>
          <w:sz w:val="24"/>
          <w:szCs w:val="24"/>
        </w:rPr>
        <w:t>01067.</w:t>
      </w:r>
    </w:p>
    <w:p>
      <w:pPr>
        <w:pStyle w:val="style0"/>
        <w:spacing w:lineRule="auto" w:line="360"/>
        <w:ind w:left="720" w:hanging="720"/>
        <w:rPr>
          <w:rFonts w:ascii="Arial" w:cs="Arial" w:hAnsi="Arial"/>
          <w:sz w:val="24"/>
          <w:szCs w:val="24"/>
        </w:rPr>
      </w:pPr>
      <w:r>
        <w:rPr>
          <w:rFonts w:ascii="Arial" w:cs="Arial" w:hAnsi="Arial"/>
          <w:sz w:val="24"/>
          <w:szCs w:val="24"/>
        </w:rPr>
        <w:t xml:space="preserve"> Kim, J.G., 2020. Influence of Climate Factors on the Occurrence of Pathogenic Escherichia coli Food Poisoning in Korea. </w:t>
      </w:r>
      <w:r>
        <w:rPr>
          <w:rFonts w:ascii="Arial" w:cs="Arial" w:hAnsi="Arial"/>
          <w:i/>
          <w:iCs/>
          <w:sz w:val="24"/>
          <w:szCs w:val="24"/>
        </w:rPr>
        <w:t>Journal of Environmental Health Sciences</w:t>
      </w:r>
      <w:r>
        <w:rPr>
          <w:rFonts w:ascii="Arial" w:cs="Arial" w:hAnsi="Arial"/>
          <w:sz w:val="24"/>
          <w:szCs w:val="24"/>
        </w:rPr>
        <w:t>, </w:t>
      </w:r>
      <w:r>
        <w:rPr>
          <w:rFonts w:ascii="Arial" w:cs="Arial" w:hAnsi="Arial"/>
          <w:i/>
          <w:iCs/>
          <w:sz w:val="24"/>
          <w:szCs w:val="24"/>
        </w:rPr>
        <w:t>46</w:t>
      </w:r>
      <w:r>
        <w:rPr>
          <w:rFonts w:ascii="Arial" w:cs="Arial" w:hAnsi="Arial"/>
          <w:sz w:val="24"/>
          <w:szCs w:val="24"/>
        </w:rPr>
        <w:t>(3), pp.353-358.</w:t>
      </w:r>
    </w:p>
    <w:p>
      <w:pPr>
        <w:pStyle w:val="style0"/>
        <w:spacing w:lineRule="auto" w:line="360"/>
        <w:ind w:left="720" w:hanging="720"/>
        <w:rPr>
          <w:rFonts w:ascii="Arial" w:cs="Arial" w:hAnsi="Arial"/>
          <w:sz w:val="24"/>
          <w:szCs w:val="24"/>
        </w:rPr>
      </w:pPr>
      <w:r>
        <w:rPr>
          <w:rFonts w:ascii="Arial" w:cs="Arial" w:hAnsi="Arial"/>
          <w:sz w:val="24"/>
          <w:szCs w:val="24"/>
        </w:rPr>
        <w:t xml:space="preserve">Miller, E.A., Johnson, T.J., </w:t>
      </w:r>
      <w:r>
        <w:rPr>
          <w:rFonts w:ascii="Arial" w:cs="Arial" w:hAnsi="Arial"/>
          <w:sz w:val="24"/>
          <w:szCs w:val="24"/>
        </w:rPr>
        <w:t>Omondi</w:t>
      </w:r>
      <w:r>
        <w:rPr>
          <w:rFonts w:ascii="Arial" w:cs="Arial" w:hAnsi="Arial"/>
          <w:sz w:val="24"/>
          <w:szCs w:val="24"/>
        </w:rPr>
        <w:t xml:space="preserve">, G., </w:t>
      </w:r>
      <w:r>
        <w:rPr>
          <w:rFonts w:ascii="Arial" w:cs="Arial" w:hAnsi="Arial"/>
          <w:sz w:val="24"/>
          <w:szCs w:val="24"/>
        </w:rPr>
        <w:t>Atwill</w:t>
      </w:r>
      <w:r>
        <w:rPr>
          <w:rFonts w:ascii="Arial" w:cs="Arial" w:hAnsi="Arial"/>
          <w:sz w:val="24"/>
          <w:szCs w:val="24"/>
        </w:rPr>
        <w:t xml:space="preserve">, E.R., Isbell, L.A., </w:t>
      </w:r>
      <w:r>
        <w:rPr>
          <w:rFonts w:ascii="Arial" w:cs="Arial" w:hAnsi="Arial"/>
          <w:sz w:val="24"/>
          <w:szCs w:val="24"/>
        </w:rPr>
        <w:t>McCowan</w:t>
      </w:r>
      <w:r>
        <w:rPr>
          <w:rFonts w:ascii="Arial" w:cs="Arial" w:hAnsi="Arial"/>
          <w:sz w:val="24"/>
          <w:szCs w:val="24"/>
        </w:rPr>
        <w:t xml:space="preserve">, B. and </w:t>
      </w:r>
      <w:r>
        <w:rPr>
          <w:rFonts w:ascii="Arial" w:cs="Arial" w:hAnsi="Arial"/>
          <w:sz w:val="24"/>
          <w:szCs w:val="24"/>
        </w:rPr>
        <w:t>VanderWaal</w:t>
      </w:r>
      <w:r>
        <w:rPr>
          <w:rFonts w:ascii="Arial" w:cs="Arial" w:hAnsi="Arial"/>
          <w:sz w:val="24"/>
          <w:szCs w:val="24"/>
        </w:rPr>
        <w:t>, K., 2019. Assessing transmission of antimicrobial-resistant Escherichia coli in wild giraffe contact networks. </w:t>
      </w:r>
      <w:r>
        <w:rPr>
          <w:rFonts w:ascii="Arial" w:cs="Arial" w:hAnsi="Arial"/>
          <w:i/>
          <w:iCs/>
          <w:sz w:val="24"/>
          <w:szCs w:val="24"/>
        </w:rPr>
        <w:t>Applied and environmental microbiology</w:t>
      </w:r>
      <w:r>
        <w:rPr>
          <w:rFonts w:ascii="Arial" w:cs="Arial" w:hAnsi="Arial"/>
          <w:sz w:val="24"/>
          <w:szCs w:val="24"/>
        </w:rPr>
        <w:t>, </w:t>
      </w:r>
      <w:r>
        <w:rPr>
          <w:rFonts w:ascii="Arial" w:cs="Arial" w:hAnsi="Arial"/>
          <w:i/>
          <w:iCs/>
          <w:sz w:val="24"/>
          <w:szCs w:val="24"/>
        </w:rPr>
        <w:t>85</w:t>
      </w:r>
      <w:r>
        <w:rPr>
          <w:rFonts w:ascii="Arial" w:cs="Arial" w:hAnsi="Arial"/>
          <w:sz w:val="24"/>
          <w:szCs w:val="24"/>
        </w:rPr>
        <w:t>(1).</w:t>
      </w:r>
    </w:p>
    <w:p>
      <w:pPr>
        <w:pStyle w:val="style0"/>
        <w:spacing w:lineRule="auto" w:line="360"/>
        <w:ind w:left="720" w:hanging="720"/>
        <w:rPr>
          <w:rFonts w:ascii="Arial" w:cs="Arial" w:hAnsi="Arial"/>
          <w:sz w:val="24"/>
          <w:szCs w:val="24"/>
        </w:rPr>
      </w:pPr>
      <w:r>
        <w:rPr>
          <w:rFonts w:ascii="Arial" w:cs="Arial" w:hAnsi="Arial"/>
          <w:sz w:val="24"/>
          <w:szCs w:val="24"/>
        </w:rPr>
        <w:t xml:space="preserve">Wang, C., Hang, H., Zhou, S., </w:t>
      </w:r>
      <w:r>
        <w:rPr>
          <w:rFonts w:ascii="Arial" w:cs="Arial" w:hAnsi="Arial"/>
          <w:sz w:val="24"/>
          <w:szCs w:val="24"/>
        </w:rPr>
        <w:t>Niu</w:t>
      </w:r>
      <w:r>
        <w:rPr>
          <w:rFonts w:ascii="Arial" w:cs="Arial" w:hAnsi="Arial"/>
          <w:sz w:val="24"/>
          <w:szCs w:val="24"/>
        </w:rPr>
        <w:t>, Y.D., Du, H., Stanford, K. and McAllister, T.A., 2020. Bacteriophage biocontrol of Shiga toxigenic Escherichia coli (STEC) O145 biofilms on stainless steel reduces the contamination of beef. </w:t>
      </w:r>
      <w:r>
        <w:rPr>
          <w:rFonts w:ascii="Arial" w:cs="Arial" w:hAnsi="Arial"/>
          <w:i/>
          <w:iCs/>
          <w:sz w:val="24"/>
          <w:szCs w:val="24"/>
        </w:rPr>
        <w:t>Food Microbiology</w:t>
      </w:r>
      <w:r>
        <w:rPr>
          <w:rFonts w:ascii="Arial" w:cs="Arial" w:hAnsi="Arial"/>
          <w:sz w:val="24"/>
          <w:szCs w:val="24"/>
        </w:rPr>
        <w:t>, </w:t>
      </w:r>
      <w:r>
        <w:rPr>
          <w:rFonts w:ascii="Arial" w:cs="Arial" w:hAnsi="Arial"/>
          <w:i/>
          <w:iCs/>
          <w:sz w:val="24"/>
          <w:szCs w:val="24"/>
        </w:rPr>
        <w:t>92</w:t>
      </w:r>
      <w:r>
        <w:rPr>
          <w:rFonts w:ascii="Arial" w:cs="Arial" w:hAnsi="Arial"/>
          <w:sz w:val="24"/>
          <w:szCs w:val="24"/>
        </w:rPr>
        <w:t>, p.103572.</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0000000000000000000"/>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Arial">
    <w:altName w:val="Arial"/>
    <w:panose1 w:val="020b0604020002020204"/>
    <w:charset w:val="00"/>
    <w:family w:val="swiss"/>
    <w:pitch w:val="variable"/>
    <w:sig w:usb0="E0002AFF" w:usb1="C0007843" w:usb2="00000009" w:usb3="00000000" w:csb0="000001FF" w:csb1="00000000"/>
  </w:font>
  <w:font w:name="Calibri Light">
    <w:altName w:val="Calibri Light"/>
    <w:panose1 w:val="00000000000000000000"/>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 xml:space="preserve">   </w:t>
    </w:r>
    <w:r>
      <w:rPr>
        <w:rFonts w:ascii="Arial" w:cs="Arial" w:hAnsi="Arial"/>
        <w:sz w:val="24"/>
        <w:szCs w:val="24"/>
      </w:rPr>
      <w:t xml:space="preserve">Food Poisoning; Escherichia Coli    </w:t>
    </w:r>
    <w:r>
      <w:rPr>
        <w:rFonts w:ascii="Arial" w:cs="Arial" w:hAnsi="Arial"/>
        <w:sz w:val="24"/>
        <w:szCs w:val="24"/>
      </w:rPr>
      <w:fldChar w:fldCharType="begin"/>
    </w:r>
    <w:r>
      <w:rPr>
        <w:rFonts w:ascii="Arial" w:cs="Arial" w:hAnsi="Arial"/>
        <w:sz w:val="24"/>
        <w:szCs w:val="24"/>
      </w:rPr>
      <w:instrText xml:space="preserve"> PAGE   \* MERGEFORMAT </w:instrText>
    </w:r>
    <w:r>
      <w:rPr>
        <w:rFonts w:ascii="Arial" w:cs="Arial" w:hAnsi="Arial"/>
        <w:sz w:val="24"/>
        <w:szCs w:val="24"/>
      </w:rPr>
      <w:fldChar w:fldCharType="separate"/>
    </w:r>
    <w:r>
      <w:rPr>
        <w:rFonts w:ascii="Arial" w:cs="Arial" w:hAnsi="Arial"/>
        <w:noProof/>
        <w:sz w:val="24"/>
        <w:szCs w:val="24"/>
      </w:rPr>
      <w:t>2</w:t>
    </w:r>
    <w:r>
      <w:rPr>
        <w:rFonts w:ascii="Arial" w:cs="Arial" w:hAnsi="Arial"/>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Arial" w:cs="Arial" w:hAnsi="Arial"/>
        <w:sz w:val="24"/>
        <w:szCs w:val="24"/>
      </w:rPr>
    </w:pPr>
    <w:r>
      <w:t xml:space="preserve"> </w:t>
    </w:r>
    <w:r>
      <w:rPr>
        <w:rFonts w:ascii="Arial" w:cs="Arial" w:hAnsi="Arial"/>
        <w:sz w:val="24"/>
        <w:szCs w:val="24"/>
      </w:rPr>
      <w:t xml:space="preserve">Food Poisoning   </w:t>
    </w:r>
    <w:r>
      <w:rPr>
        <w:rFonts w:ascii="Arial" w:cs="Arial" w:hAnsi="Arial"/>
        <w:sz w:val="24"/>
        <w:szCs w:val="24"/>
      </w:rPr>
      <w:fldChar w:fldCharType="begin"/>
    </w:r>
    <w:r>
      <w:rPr>
        <w:rFonts w:ascii="Arial" w:cs="Arial" w:hAnsi="Arial"/>
        <w:sz w:val="24"/>
        <w:szCs w:val="24"/>
      </w:rPr>
      <w:instrText xml:space="preserve"> PAGE   \* MERGEFORMAT </w:instrText>
    </w:r>
    <w:r>
      <w:rPr>
        <w:rFonts w:ascii="Arial" w:cs="Arial" w:hAnsi="Arial"/>
        <w:sz w:val="24"/>
        <w:szCs w:val="24"/>
      </w:rPr>
      <w:fldChar w:fldCharType="separate"/>
    </w:r>
    <w:r>
      <w:rPr>
        <w:rFonts w:ascii="Arial" w:cs="Arial" w:hAnsi="Arial"/>
        <w:noProof/>
        <w:sz w:val="24"/>
        <w:szCs w:val="24"/>
      </w:rPr>
      <w:t>1</w:t>
    </w:r>
    <w:r>
      <w:rPr>
        <w:rFonts w:ascii="Arial" w:cs="Arial" w:hAnsi="Arial"/>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a2d27fe-1f45-4a7d-85f3-d3ee82b86ef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3aed552-93bd-4154-b1b3-1decb6726a48"/>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1489</Words>
  <Pages>6</Pages>
  <Characters>7769</Characters>
  <Application>WPS Office</Application>
  <DocSecurity>0</DocSecurity>
  <Paragraphs>66</Paragraphs>
  <ScaleCrop>false</ScaleCrop>
  <LinksUpToDate>false</LinksUpToDate>
  <CharactersWithSpaces>9253</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2020-12-09T15:41:24Z</dcterms:created>
  <dc:creator>COMP4</dc:creator>
  <lastModifiedBy>SM-A515F</lastModifiedBy>
  <dcterms:modified xsi:type="dcterms:W3CDTF">2020-12-09T15:41:24Z</dcterms:modified>
  <revision>2</revision>
</coreProperties>
</file>

<file path=docProps/custom.xml><?xml version="1.0" encoding="utf-8"?>
<Properties xmlns="http://schemas.openxmlformats.org/officeDocument/2006/custom-properties" xmlns:vt="http://schemas.openxmlformats.org/officeDocument/2006/docPropsVTypes"/>
</file>